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48" w:rsidRPr="00973E48" w:rsidRDefault="00973E48" w:rsidP="00F00A82">
      <w:pPr>
        <w:widowControl/>
        <w:shd w:val="clear" w:color="auto" w:fill="FFFFFF"/>
        <w:spacing w:line="630" w:lineRule="atLeast"/>
        <w:jc w:val="center"/>
        <w:rPr>
          <w:rFonts w:ascii="微软雅黑" w:eastAsia="微软雅黑" w:hAnsi="微软雅黑" w:cs="宋体"/>
          <w:b/>
          <w:bCs/>
          <w:color w:val="333333"/>
          <w:kern w:val="0"/>
          <w:sz w:val="36"/>
          <w:szCs w:val="36"/>
        </w:rPr>
      </w:pPr>
      <w:r w:rsidRPr="00973E48">
        <w:rPr>
          <w:rFonts w:ascii="微软雅黑" w:eastAsia="微软雅黑" w:hAnsi="微软雅黑" w:cs="宋体"/>
          <w:b/>
          <w:bCs/>
          <w:color w:val="333333"/>
          <w:kern w:val="0"/>
          <w:sz w:val="36"/>
          <w:szCs w:val="36"/>
        </w:rPr>
        <w:t>《中国共产党组织工作条例》</w:t>
      </w:r>
    </w:p>
    <w:p w:rsidR="00F00A82" w:rsidRPr="00F00A82" w:rsidRDefault="00F00A82" w:rsidP="00F00A82">
      <w:pPr>
        <w:widowControl/>
        <w:shd w:val="clear" w:color="auto" w:fill="FFFFFF"/>
        <w:spacing w:line="630" w:lineRule="atLeast"/>
        <w:jc w:val="center"/>
        <w:rPr>
          <w:rFonts w:ascii="微软雅黑" w:eastAsia="微软雅黑" w:hAnsi="微软雅黑" w:cs="宋体"/>
          <w:color w:val="333333"/>
          <w:kern w:val="0"/>
          <w:sz w:val="27"/>
          <w:szCs w:val="27"/>
        </w:rPr>
      </w:pPr>
      <w:r w:rsidRPr="00F00A82">
        <w:rPr>
          <w:rFonts w:ascii="微软雅黑" w:eastAsia="微软雅黑" w:hAnsi="微软雅黑" w:cs="宋体" w:hint="eastAsia"/>
          <w:b/>
          <w:bCs/>
          <w:color w:val="333333"/>
          <w:kern w:val="0"/>
          <w:sz w:val="27"/>
          <w:szCs w:val="27"/>
        </w:rPr>
        <w:t>（2021年4月30日中共中央政治局会议审议批准 2021年5月22</w:t>
      </w:r>
      <w:bookmarkStart w:id="0" w:name="_GoBack"/>
      <w:r w:rsidRPr="00F00A82">
        <w:rPr>
          <w:rFonts w:ascii="微软雅黑" w:eastAsia="微软雅黑" w:hAnsi="微软雅黑" w:cs="宋体" w:hint="eastAsia"/>
          <w:b/>
          <w:bCs/>
          <w:color w:val="333333"/>
          <w:kern w:val="0"/>
          <w:sz w:val="27"/>
          <w:szCs w:val="27"/>
        </w:rPr>
        <w:t>日中共中央发布）</w:t>
      </w:r>
    </w:p>
    <w:bookmarkEnd w:id="0"/>
    <w:p w:rsidR="00F00A82" w:rsidRPr="00F00A82" w:rsidRDefault="00F00A82" w:rsidP="00F00A82">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第一章</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总则</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第一条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lastRenderedPageBreak/>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第四条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党的组织工作遵循以下原则：</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（一）坚持党的全面领导；</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（二）坚持组织路线服务政治路线；</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（三）坚持民主集中制；</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（四）坚持党的群众路线；</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（五）坚持党管干部、党管人才；</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（六）坚持德才兼备、以德为先、任人唯贤；</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（七）坚持党的组织和党的工作全覆盖；</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（八）坚持实事求是、公道正派；</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（九）坚持依法依规、科学规范。</w:t>
      </w:r>
    </w:p>
    <w:p w:rsidR="00F00A82" w:rsidRPr="00F00A82" w:rsidRDefault="00F00A82" w:rsidP="00F00A82">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第二章</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领导体制和职责</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第五条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组织工作实行党中央集中统一领导，各级党委（党组）分级分类领导，组织部门专门负责，有关方面各司其职、密切配合的领导体制。</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lastRenderedPageBreak/>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党中央以及地方党委设置组织部，各级党政机关、人民团体、国有企业和事业单位党组织设置组织工作机构或者专职工作岗位，专门负责组织工作。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中央组织部指导各级组织部门工作，上级组织部门指导下级组织部门工作。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第六条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党中央决定组织工作路线方针政策，制定组织工作重要党内法规和规范性文件，对组织工作重大战略、重大改革、重大举措、重大事项</w:t>
      </w:r>
      <w:proofErr w:type="gramStart"/>
      <w:r w:rsidRPr="00F00A82">
        <w:rPr>
          <w:rFonts w:ascii="微软雅黑" w:eastAsia="微软雅黑" w:hAnsi="微软雅黑" w:cs="宋体" w:hint="eastAsia"/>
          <w:color w:val="333333"/>
          <w:kern w:val="0"/>
          <w:sz w:val="27"/>
          <w:szCs w:val="27"/>
        </w:rPr>
        <w:t>作出</w:t>
      </w:r>
      <w:proofErr w:type="gramEnd"/>
      <w:r w:rsidRPr="00F00A82">
        <w:rPr>
          <w:rFonts w:ascii="微软雅黑" w:eastAsia="微软雅黑" w:hAnsi="微软雅黑" w:cs="宋体" w:hint="eastAsia"/>
          <w:color w:val="333333"/>
          <w:kern w:val="0"/>
          <w:sz w:val="27"/>
          <w:szCs w:val="27"/>
        </w:rPr>
        <w:t>决策，全面领导党的组织体系建设、干部工作、人才工作，按照有关规定推荐、提名、任免干部。</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党中央一般每5年召开1次全国组织工作会议，对一个时期的组织工作</w:t>
      </w:r>
      <w:proofErr w:type="gramStart"/>
      <w:r w:rsidRPr="00F00A82">
        <w:rPr>
          <w:rFonts w:ascii="微软雅黑" w:eastAsia="微软雅黑" w:hAnsi="微软雅黑" w:cs="宋体" w:hint="eastAsia"/>
          <w:color w:val="333333"/>
          <w:kern w:val="0"/>
          <w:sz w:val="27"/>
          <w:szCs w:val="27"/>
        </w:rPr>
        <w:t>作出</w:t>
      </w:r>
      <w:proofErr w:type="gramEnd"/>
      <w:r w:rsidRPr="00F00A82">
        <w:rPr>
          <w:rFonts w:ascii="微软雅黑" w:eastAsia="微软雅黑" w:hAnsi="微软雅黑" w:cs="宋体" w:hint="eastAsia"/>
          <w:color w:val="333333"/>
          <w:kern w:val="0"/>
          <w:sz w:val="27"/>
          <w:szCs w:val="27"/>
        </w:rPr>
        <w:t>全面部署。</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第七条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地方党委对本地区组织工作</w:t>
      </w:r>
      <w:proofErr w:type="gramStart"/>
      <w:r w:rsidRPr="00F00A82">
        <w:rPr>
          <w:rFonts w:ascii="微软雅黑" w:eastAsia="微软雅黑" w:hAnsi="微软雅黑" w:cs="宋体" w:hint="eastAsia"/>
          <w:color w:val="333333"/>
          <w:kern w:val="0"/>
          <w:sz w:val="27"/>
          <w:szCs w:val="27"/>
        </w:rPr>
        <w:t>负主体</w:t>
      </w:r>
      <w:proofErr w:type="gramEnd"/>
      <w:r w:rsidRPr="00F00A82">
        <w:rPr>
          <w:rFonts w:ascii="微软雅黑" w:eastAsia="微软雅黑" w:hAnsi="微软雅黑" w:cs="宋体" w:hint="eastAsia"/>
          <w:color w:val="333333"/>
          <w:kern w:val="0"/>
          <w:sz w:val="27"/>
          <w:szCs w:val="27"/>
        </w:rPr>
        <w:t>责任。主要职责是：</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（一）贯彻落实党的组织工作路线方针政策，执行党中央以及上级党组织关于组织工作的决策部署、指示要求，按照权限制定组织工作党内法规和规范性文件，研究部署本地区组织工作重大事项和重要工作；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（二）领导同级人大、政府、政协、监察机关、审判机关、检察机关、人民团体等党的组织工作，指导和督促检查下级党组织开展组织工作；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lastRenderedPageBreak/>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（三）领导本地区党的组织体系建设，加强基层党组织和党员队伍建设；</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（四）按照干部管理权限任免和管理干部，向地方国家机关、政协组织、人民团体、国有企业和事业单位等推荐重要干部；</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（五）贯彻人才强国战略，统筹协调有关方面共同参与和推动本地区人才工作；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（六）完成党中央以及上级党组织交办的其他任务。</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党组对本单位组织工作的领导职责，按照有关规定执行。</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第八条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中央组织部和地方党委组织部的主要职责是：</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（一）在党中央以及本级党委领导下，具体负责落实党的组织工作路线方针政策和决策部署，按照权限和分工制定、起草组织工作党内法规和规范性文件，推进组织制度贯彻落实；</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（二）研究组织工作重要理论和实践问题，提出完善制度机制的政策建议，为党中央以及本级党委决策提供参考；</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（三）负责党的组织体系建设，加强基层党组织和党员队伍建设；</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（四）负责干部工作和干部队伍的统一管理，按照干部管理权限和分工负责领导班子建设的有关具体工作；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lastRenderedPageBreak/>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（五）负责人才工作的指导协调和人才的联系服务；</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（六）负责公务员工作的统一管理；</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（七）负责离退休干部工作的统一管理；</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（八）统一管理机构编制委员会办公室；</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（九）完成党中央以及本级党委交办的其他任务。</w:t>
      </w:r>
    </w:p>
    <w:p w:rsidR="00F00A82" w:rsidRPr="00F00A82" w:rsidRDefault="00F00A82" w:rsidP="00F00A82">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第三章</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党的组织体系建设</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第九条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坚持马克思主义建党原则，健全维护党的集中统一的组织制度，完善上下贯通、执行有力的组织体系，实现党的组织和党的工作全覆盖，不断增强党的政治领导力、思想引领力、群众组织力、社会号召力。</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第十条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按照党章规定建立健全党的各级各类组织，形成包括党的中央组织、地方组织、基层组织在内，涵盖党的纪律检查机关、党的工作机关、党组，纵向到底、横向到边的严密组织架构。</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适应形势任务的发展变化，及时调整和优化党组织设置。为执行某项任务临时组建的机构，可以按照有关规定成立临时党组织。除另有规定外，一般按照属地管理原则，规范和理顺基层党组织隶属关系。</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第十一条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党的中央委员会、中央政治局、中央政治局常务委员会是党的组织体系的大脑和中枢，在推进中国特色社会主义事业中把方向、</w:t>
      </w:r>
      <w:r w:rsidRPr="00F00A82">
        <w:rPr>
          <w:rFonts w:ascii="微软雅黑" w:eastAsia="微软雅黑" w:hAnsi="微软雅黑" w:cs="宋体" w:hint="eastAsia"/>
          <w:color w:val="333333"/>
          <w:kern w:val="0"/>
          <w:sz w:val="27"/>
          <w:szCs w:val="27"/>
        </w:rPr>
        <w:lastRenderedPageBreak/>
        <w:t>谋大局、定政策、促改革。坚持和完善党的领导制度体系，健全党中央对重大工作的领导体制，完善推动党中央决策部署落实机制，严格执行向党中央请示报告制度。</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第十二条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党的地方委员会在本地区发挥总揽全局、协调各方的领导作用，全面领导本地区经济社会发展，全面负责本地区党的建设，履行把方向、管大局、作决策、</w:t>
      </w:r>
      <w:proofErr w:type="gramStart"/>
      <w:r w:rsidRPr="00F00A82">
        <w:rPr>
          <w:rFonts w:ascii="微软雅黑" w:eastAsia="微软雅黑" w:hAnsi="微软雅黑" w:cs="宋体" w:hint="eastAsia"/>
          <w:color w:val="333333"/>
          <w:kern w:val="0"/>
          <w:sz w:val="27"/>
          <w:szCs w:val="27"/>
        </w:rPr>
        <w:t>保落实</w:t>
      </w:r>
      <w:proofErr w:type="gramEnd"/>
      <w:r w:rsidRPr="00F00A82">
        <w:rPr>
          <w:rFonts w:ascii="微软雅黑" w:eastAsia="微软雅黑" w:hAnsi="微软雅黑" w:cs="宋体" w:hint="eastAsia"/>
          <w:color w:val="333333"/>
          <w:kern w:val="0"/>
          <w:sz w:val="27"/>
          <w:szCs w:val="27"/>
        </w:rPr>
        <w:t>职责。坚持和完善党的地方组织工作制度，健全议事决策和监督机制，增强整体功能，提高领导水平，把党的地方组织建设成为坚决听从党中央指挥、管理严格、监督有力、班子团结、风气纯正的坚强组织。</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第十三条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w:t>
      </w:r>
      <w:r w:rsidRPr="00F00A82">
        <w:rPr>
          <w:rFonts w:ascii="微软雅黑" w:eastAsia="微软雅黑" w:hAnsi="微软雅黑" w:cs="宋体" w:hint="eastAsia"/>
          <w:color w:val="333333"/>
          <w:kern w:val="0"/>
          <w:sz w:val="27"/>
          <w:szCs w:val="27"/>
        </w:rPr>
        <w:lastRenderedPageBreak/>
        <w:t>较多或者党员工作地、居住地比较分散的党支部，应当按照便于组织开展活动原则，划分若干党小组。</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第十四条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党组在本单位发挥领导作用，履行把方向、管大局、</w:t>
      </w:r>
      <w:proofErr w:type="gramStart"/>
      <w:r w:rsidRPr="00F00A82">
        <w:rPr>
          <w:rFonts w:ascii="微软雅黑" w:eastAsia="微软雅黑" w:hAnsi="微软雅黑" w:cs="宋体" w:hint="eastAsia"/>
          <w:color w:val="333333"/>
          <w:kern w:val="0"/>
          <w:sz w:val="27"/>
          <w:szCs w:val="27"/>
        </w:rPr>
        <w:t>保落实</w:t>
      </w:r>
      <w:proofErr w:type="gramEnd"/>
      <w:r w:rsidRPr="00F00A82">
        <w:rPr>
          <w:rFonts w:ascii="微软雅黑" w:eastAsia="微软雅黑" w:hAnsi="微软雅黑" w:cs="宋体" w:hint="eastAsia"/>
          <w:color w:val="333333"/>
          <w:kern w:val="0"/>
          <w:sz w:val="27"/>
          <w:szCs w:val="27"/>
        </w:rPr>
        <w:t>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第十五条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围绕建设信念坚定、政治可靠、结构合理、素质优良、纪律严明、作用突出的党员队伍，做好发展党员和党员教育、管理、监督、服务工作。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发展党员应当按照控制总量、优化结构、提高质量、发挥作用的总要求，把政治标准放在首位，严格程序、严格把关，保证新发展党员质量。加强入党积极分子队伍建设，加强发展对象、预备党员的教育培养。</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党员教育应当把学习贯彻习近平新时代中国特色社会主义思想作为首要政治任务，组织开展党内集中教育和党员经常性教育，坚持组织培训和个人自学相结合，引导党员不忘初心、牢记使命、不懈奋斗。</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党员管理应当严格做好党籍管理、组织关系管理、党费收缴使用管理、日常监督、组织处置等工作，加强和改进流动党员管理。结合不同群体党员实际，组织引导党员充分发挥先锋模范作用。</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lastRenderedPageBreak/>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加强党内激励关怀帮扶，保障党员民主权利，开展党内表彰，做好关爱服务党员工作。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第十六条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第十七条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第十八条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w:t>
      </w:r>
      <w:r w:rsidRPr="00F00A82">
        <w:rPr>
          <w:rFonts w:ascii="微软雅黑" w:eastAsia="微软雅黑" w:hAnsi="微软雅黑" w:cs="宋体" w:hint="eastAsia"/>
          <w:color w:val="333333"/>
          <w:kern w:val="0"/>
          <w:sz w:val="27"/>
          <w:szCs w:val="27"/>
        </w:rPr>
        <w:lastRenderedPageBreak/>
        <w:t>提高纪律的权威性和约束力，做到有令必行、有禁必止，执纪必严、违纪必究。</w:t>
      </w:r>
    </w:p>
    <w:p w:rsidR="00F00A82" w:rsidRPr="00F00A82" w:rsidRDefault="00F00A82" w:rsidP="00F00A82">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第四章</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干部工作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第十九条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第二十条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第二十一条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w:t>
      </w:r>
      <w:proofErr w:type="gramStart"/>
      <w:r w:rsidRPr="00F00A82">
        <w:rPr>
          <w:rFonts w:ascii="微软雅黑" w:eastAsia="微软雅黑" w:hAnsi="微软雅黑" w:cs="宋体" w:hint="eastAsia"/>
          <w:color w:val="333333"/>
          <w:kern w:val="0"/>
          <w:sz w:val="27"/>
          <w:szCs w:val="27"/>
        </w:rPr>
        <w:t>践行</w:t>
      </w:r>
      <w:proofErr w:type="gramEnd"/>
      <w:r w:rsidRPr="00F00A82">
        <w:rPr>
          <w:rFonts w:ascii="微软雅黑" w:eastAsia="微软雅黑" w:hAnsi="微软雅黑" w:cs="宋体" w:hint="eastAsia"/>
          <w:color w:val="333333"/>
          <w:kern w:val="0"/>
          <w:sz w:val="27"/>
          <w:szCs w:val="27"/>
        </w:rPr>
        <w:t>习近平新时代中国特色社会主义思想、坚定贯彻落实党中央决策部署的坚强领导集体。</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lastRenderedPageBreak/>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第二十二条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第二十三条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w:t>
      </w:r>
      <w:proofErr w:type="gramStart"/>
      <w:r w:rsidRPr="00F00A82">
        <w:rPr>
          <w:rFonts w:ascii="微软雅黑" w:eastAsia="微软雅黑" w:hAnsi="微软雅黑" w:cs="宋体" w:hint="eastAsia"/>
          <w:color w:val="333333"/>
          <w:kern w:val="0"/>
          <w:sz w:val="27"/>
          <w:szCs w:val="27"/>
        </w:rPr>
        <w:t>汰</w:t>
      </w:r>
      <w:proofErr w:type="gramEnd"/>
      <w:r w:rsidRPr="00F00A82">
        <w:rPr>
          <w:rFonts w:ascii="微软雅黑" w:eastAsia="微软雅黑" w:hAnsi="微软雅黑" w:cs="宋体" w:hint="eastAsia"/>
          <w:color w:val="333333"/>
          <w:kern w:val="0"/>
          <w:sz w:val="27"/>
          <w:szCs w:val="27"/>
        </w:rPr>
        <w:t>的正确导向。</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第二十四条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lastRenderedPageBreak/>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拓宽选人用人视野，推进地方与部门之间、地区之间、部门之间、党政机关与国有企业和事业单位以及其他社会组织之间的干部交流，综合运用援派、挂职等方式，加大对国家重大战略选派干部支持力度。</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第二十五条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第二十六条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建立健全崇尚实干、带动担当、加油鼓劲的正向激励体系，坚持严管和厚爱结合、激励和约束并重，加强</w:t>
      </w:r>
      <w:proofErr w:type="gramStart"/>
      <w:r w:rsidRPr="00F00A82">
        <w:rPr>
          <w:rFonts w:ascii="微软雅黑" w:eastAsia="微软雅黑" w:hAnsi="微软雅黑" w:cs="宋体" w:hint="eastAsia"/>
          <w:color w:val="333333"/>
          <w:kern w:val="0"/>
          <w:sz w:val="27"/>
          <w:szCs w:val="27"/>
        </w:rPr>
        <w:t>对敢担当善作为</w:t>
      </w:r>
      <w:proofErr w:type="gramEnd"/>
      <w:r w:rsidRPr="00F00A82">
        <w:rPr>
          <w:rFonts w:ascii="微软雅黑" w:eastAsia="微软雅黑" w:hAnsi="微软雅黑" w:cs="宋体" w:hint="eastAsia"/>
          <w:color w:val="333333"/>
          <w:kern w:val="0"/>
          <w:sz w:val="27"/>
          <w:szCs w:val="27"/>
        </w:rPr>
        <w:t>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第二十七条</w:t>
      </w:r>
      <w:r w:rsidRPr="00F00A82">
        <w:rPr>
          <w:rFonts w:ascii="微软雅黑" w:eastAsia="微软雅黑" w:hAnsi="微软雅黑" w:cs="宋体" w:hint="eastAsia"/>
          <w:color w:val="333333"/>
          <w:kern w:val="0"/>
          <w:sz w:val="27"/>
          <w:szCs w:val="27"/>
        </w:rPr>
        <w:t> </w:t>
      </w:r>
      <w:proofErr w:type="gramStart"/>
      <w:r w:rsidRPr="00F00A82">
        <w:rPr>
          <w:rFonts w:ascii="微软雅黑" w:eastAsia="微软雅黑" w:hAnsi="微软雅黑" w:cs="宋体" w:hint="eastAsia"/>
          <w:color w:val="333333"/>
          <w:kern w:val="0"/>
          <w:sz w:val="27"/>
          <w:szCs w:val="27"/>
        </w:rPr>
        <w:t>着眼党</w:t>
      </w:r>
      <w:proofErr w:type="gramEnd"/>
      <w:r w:rsidRPr="00F00A82">
        <w:rPr>
          <w:rFonts w:ascii="微软雅黑" w:eastAsia="微软雅黑" w:hAnsi="微软雅黑" w:cs="宋体" w:hint="eastAsia"/>
          <w:color w:val="333333"/>
          <w:kern w:val="0"/>
          <w:sz w:val="27"/>
          <w:szCs w:val="27"/>
        </w:rPr>
        <w:t>和国家事业长远发展需要，坚持拓宽来源、优化结构、改进方式、提高质量，从各条战线、各个领域、各个行业发现选拔优秀年轻干部，优化成长路径，建立上下联动、长期关注的干部常态</w:t>
      </w:r>
      <w:proofErr w:type="gramStart"/>
      <w:r w:rsidRPr="00F00A82">
        <w:rPr>
          <w:rFonts w:ascii="微软雅黑" w:eastAsia="微软雅黑" w:hAnsi="微软雅黑" w:cs="宋体" w:hint="eastAsia"/>
          <w:color w:val="333333"/>
          <w:kern w:val="0"/>
          <w:sz w:val="27"/>
          <w:szCs w:val="27"/>
        </w:rPr>
        <w:t>化培养</w:t>
      </w:r>
      <w:proofErr w:type="gramEnd"/>
      <w:r w:rsidRPr="00F00A82">
        <w:rPr>
          <w:rFonts w:ascii="微软雅黑" w:eastAsia="微软雅黑" w:hAnsi="微软雅黑" w:cs="宋体" w:hint="eastAsia"/>
          <w:color w:val="333333"/>
          <w:kern w:val="0"/>
          <w:sz w:val="27"/>
          <w:szCs w:val="27"/>
        </w:rPr>
        <w:t>锻炼机制，完善适时使用、动态管理机制，健全促进优秀年轻</w:t>
      </w:r>
      <w:r w:rsidRPr="00F00A82">
        <w:rPr>
          <w:rFonts w:ascii="微软雅黑" w:eastAsia="微软雅黑" w:hAnsi="微软雅黑" w:cs="宋体" w:hint="eastAsia"/>
          <w:color w:val="333333"/>
          <w:kern w:val="0"/>
          <w:sz w:val="27"/>
          <w:szCs w:val="27"/>
        </w:rPr>
        <w:lastRenderedPageBreak/>
        <w:t>干部脱颖而出的制度措施，推动年轻干部加强思想理论武装和基层实践锻炼、提高解决实际问题的能力。用好各年龄段干部，优化干部队伍梯次结构。统筹做好培养选拔女干部、少数民族干部和党外干部工作。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第二十八条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第二十九条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严格执行干部退休制度，加强离退休干部思想政治建设和党组织建设，完善和创新离退休干部服务管理工作，组织引导离退休干部发挥作用。</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第三十条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rsidR="00F00A82" w:rsidRPr="00F00A82" w:rsidRDefault="00F00A82" w:rsidP="00F00A82">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第五章</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人才工作</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第三十一条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坚持党</w:t>
      </w:r>
      <w:proofErr w:type="gramStart"/>
      <w:r w:rsidRPr="00F00A82">
        <w:rPr>
          <w:rFonts w:ascii="微软雅黑" w:eastAsia="微软雅黑" w:hAnsi="微软雅黑" w:cs="宋体" w:hint="eastAsia"/>
          <w:color w:val="333333"/>
          <w:kern w:val="0"/>
          <w:sz w:val="27"/>
          <w:szCs w:val="27"/>
        </w:rPr>
        <w:t>管人才</w:t>
      </w:r>
      <w:proofErr w:type="gramEnd"/>
      <w:r w:rsidRPr="00F00A82">
        <w:rPr>
          <w:rFonts w:ascii="微软雅黑" w:eastAsia="微软雅黑" w:hAnsi="微软雅黑" w:cs="宋体" w:hint="eastAsia"/>
          <w:color w:val="333333"/>
          <w:kern w:val="0"/>
          <w:sz w:val="27"/>
          <w:szCs w:val="27"/>
        </w:rPr>
        <w:t>原则，确立人才引领发展的战略地位，遵循社会主义市场经济规律和人才成长规律，破除束缚人才发展的思想观念和体制机制障碍，构建科学规范、开放包容、运行高效的人才发展</w:t>
      </w:r>
      <w:r w:rsidRPr="00F00A82">
        <w:rPr>
          <w:rFonts w:ascii="微软雅黑" w:eastAsia="微软雅黑" w:hAnsi="微软雅黑" w:cs="宋体" w:hint="eastAsia"/>
          <w:color w:val="333333"/>
          <w:kern w:val="0"/>
          <w:sz w:val="27"/>
          <w:szCs w:val="27"/>
        </w:rPr>
        <w:lastRenderedPageBreak/>
        <w:t>治理体系，全方位培养、引进、用好人才，着力集聚爱国奉献的各方面优秀人才，推进实施人才强国战略、创新驱动发展战略，为民族复兴伟业提供强大人才支撑。</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第三十二条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各级党委（党组）应当加强对本地区本部门本单位人才工作的领导，形成党委统一领导，组织部门牵头抓总，有关部门各司其职、密切配合，用人单位发挥主体作用、社会力量广泛参与的党</w:t>
      </w:r>
      <w:proofErr w:type="gramStart"/>
      <w:r w:rsidRPr="00F00A82">
        <w:rPr>
          <w:rFonts w:ascii="微软雅黑" w:eastAsia="微软雅黑" w:hAnsi="微软雅黑" w:cs="宋体" w:hint="eastAsia"/>
          <w:color w:val="333333"/>
          <w:kern w:val="0"/>
          <w:sz w:val="27"/>
          <w:szCs w:val="27"/>
        </w:rPr>
        <w:t>管人才</w:t>
      </w:r>
      <w:proofErr w:type="gramEnd"/>
      <w:r w:rsidRPr="00F00A82">
        <w:rPr>
          <w:rFonts w:ascii="微软雅黑" w:eastAsia="微软雅黑" w:hAnsi="微软雅黑" w:cs="宋体" w:hint="eastAsia"/>
          <w:color w:val="333333"/>
          <w:kern w:val="0"/>
          <w:sz w:val="27"/>
          <w:szCs w:val="27"/>
        </w:rPr>
        <w:t>工作格局。</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第三十三条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紧紧围绕经济社会发展需求，聚焦重大发展战略，加强对人才队伍建设的宏观谋划，培养造就大批德才兼备的高素质人才。坚持高端引领、整体开发，组织实施重大人才工程，统筹推进各领域人才队伍建设。</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lastRenderedPageBreak/>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第三十四条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第三十五条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第三十六条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第三十七条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树立强烈的人才意识，完善人才服务保障体系，加强对优秀人才和先进典型的宣传，营造尊重劳动、尊重知识、尊重人才、尊重创造的良好氛围，鼓励创新、宽容失败，开创人人皆可成才、人人尽展其才的生动局面。</w:t>
      </w:r>
    </w:p>
    <w:p w:rsidR="00F00A82" w:rsidRPr="00F00A82" w:rsidRDefault="00F00A82" w:rsidP="00F00A82">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第六章</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保障和监督</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第三十八条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各级党委（党组）应当切实加强对组织工作的领导，关心和支持组织部门履行职责、开展工作，合理配置机构编制，充实工作力量，提供必要的工作条件和经费保障，统筹协调各方面，形成做好</w:t>
      </w:r>
      <w:r w:rsidRPr="00F00A82">
        <w:rPr>
          <w:rFonts w:ascii="微软雅黑" w:eastAsia="微软雅黑" w:hAnsi="微软雅黑" w:cs="宋体" w:hint="eastAsia"/>
          <w:color w:val="333333"/>
          <w:kern w:val="0"/>
          <w:sz w:val="27"/>
          <w:szCs w:val="27"/>
        </w:rPr>
        <w:lastRenderedPageBreak/>
        <w:t>组织工作的合力。加强组织部门领导班子建设，注重选拔政治上强、坚持原则、公道正派、有党务工作经历的干部担任组织部门领导干部。</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第三十九条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组织部门应当坚决贯彻执行党中央以及党委（党组）的决策部署，严格执行重大事项请示报告制度。坚持和完善部务会会议制度，健全议事规则和程序，充分发挥部务会集体领导和把关作用。</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第四十条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组织部门应当聚焦主责主业，健全工作机制，优化工作流程，加强调查研究，注重运用互联网技术、数字技术和信息化手段，提高工作效能。</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第四十一条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组织部门应当强化政治机关意识，带头发扬党的光荣传统和优良作风，带头增强“四个意识”、坚定“四个自信”、做到“两个维护”，坚持以党的政治建设为统领，深入推进从严治部、从严律己、从严带队伍，努力建设讲政治、重公道、业务精、作风</w:t>
      </w:r>
      <w:proofErr w:type="gramStart"/>
      <w:r w:rsidRPr="00F00A82">
        <w:rPr>
          <w:rFonts w:ascii="微软雅黑" w:eastAsia="微软雅黑" w:hAnsi="微软雅黑" w:cs="宋体" w:hint="eastAsia"/>
          <w:color w:val="333333"/>
          <w:kern w:val="0"/>
          <w:sz w:val="27"/>
          <w:szCs w:val="27"/>
        </w:rPr>
        <w:t>好的模范</w:t>
      </w:r>
      <w:proofErr w:type="gramEnd"/>
      <w:r w:rsidRPr="00F00A82">
        <w:rPr>
          <w:rFonts w:ascii="微软雅黑" w:eastAsia="微软雅黑" w:hAnsi="微软雅黑" w:cs="宋体" w:hint="eastAsia"/>
          <w:color w:val="333333"/>
          <w:kern w:val="0"/>
          <w:sz w:val="27"/>
          <w:szCs w:val="27"/>
        </w:rPr>
        <w:t>部门，让党中央放心、让党员干部人才信赖、让人民群众满意。</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加强组工干部队伍建设，强化政治纪律和政治规矩教育，严守组织人事纪律和保密纪律，坚持清正廉洁，着力提升专业化能力，确保政治上绝对可靠、对党绝对忠诚。</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第四十二条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各级党委（党组）应当落实全面从严治党主体责任，加强对本条例执行情况的监督检查，将本条例执行情况纳入领导班子和领导干部考核内容，纳入巡视巡察范围。</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lastRenderedPageBreak/>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第四十三条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违反本条例有关规定的，根据情节轻重，给予批评教育、责令检查、诫勉、组织处理或者依规依纪依法给予处分。</w:t>
      </w:r>
    </w:p>
    <w:p w:rsidR="00F00A82" w:rsidRPr="00F00A82" w:rsidRDefault="00F00A82" w:rsidP="00F00A82">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第七章</w:t>
      </w:r>
      <w:r w:rsidRPr="00F00A82">
        <w:rPr>
          <w:rFonts w:ascii="微软雅黑" w:eastAsia="微软雅黑" w:hAnsi="微软雅黑" w:cs="宋体" w:hint="eastAsia"/>
          <w:b/>
          <w:bCs/>
          <w:color w:val="333333"/>
          <w:kern w:val="0"/>
          <w:sz w:val="27"/>
          <w:szCs w:val="27"/>
        </w:rPr>
        <w:t> </w:t>
      </w:r>
      <w:r w:rsidRPr="00F00A82">
        <w:rPr>
          <w:rFonts w:ascii="微软雅黑" w:eastAsia="微软雅黑" w:hAnsi="微软雅黑" w:cs="宋体" w:hint="eastAsia"/>
          <w:b/>
          <w:bCs/>
          <w:color w:val="333333"/>
          <w:kern w:val="0"/>
          <w:sz w:val="27"/>
          <w:szCs w:val="27"/>
        </w:rPr>
        <w:t>附则</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第四十四条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中央军事委员会可以根据本条例精神，制定相关规定。</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第四十五条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本条例由中央组织部负责解释。</w:t>
      </w:r>
    </w:p>
    <w:p w:rsidR="00F00A82" w:rsidRPr="00F00A82" w:rsidRDefault="00F00A82" w:rsidP="00F00A82">
      <w:pPr>
        <w:widowControl/>
        <w:shd w:val="clear" w:color="auto" w:fill="FFFFFF"/>
        <w:spacing w:before="300" w:line="630" w:lineRule="atLeast"/>
        <w:rPr>
          <w:rFonts w:ascii="微软雅黑" w:eastAsia="微软雅黑" w:hAnsi="微软雅黑" w:cs="宋体" w:hint="eastAsia"/>
          <w:color w:val="333333"/>
          <w:kern w:val="0"/>
          <w:sz w:val="27"/>
          <w:szCs w:val="27"/>
        </w:rPr>
      </w:pP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第四十六条</w:t>
      </w:r>
      <w:r w:rsidRPr="00F00A82">
        <w:rPr>
          <w:rFonts w:ascii="微软雅黑" w:eastAsia="微软雅黑" w:hAnsi="微软雅黑" w:cs="宋体" w:hint="eastAsia"/>
          <w:color w:val="333333"/>
          <w:kern w:val="0"/>
          <w:sz w:val="27"/>
          <w:szCs w:val="27"/>
        </w:rPr>
        <w:t> </w:t>
      </w:r>
      <w:r w:rsidRPr="00F00A82">
        <w:rPr>
          <w:rFonts w:ascii="微软雅黑" w:eastAsia="微软雅黑" w:hAnsi="微软雅黑" w:cs="宋体" w:hint="eastAsia"/>
          <w:color w:val="333333"/>
          <w:kern w:val="0"/>
          <w:sz w:val="27"/>
          <w:szCs w:val="27"/>
        </w:rPr>
        <w:t>本条例自发布之日起施行。</w:t>
      </w:r>
    </w:p>
    <w:p w:rsidR="00955808" w:rsidRPr="00F00A82" w:rsidRDefault="00973E48"/>
    <w:sectPr w:rsidR="00955808" w:rsidRPr="00F00A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82"/>
    <w:rsid w:val="00973E48"/>
    <w:rsid w:val="009B5796"/>
    <w:rsid w:val="009D5764"/>
    <w:rsid w:val="00F0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477B1-E413-4BE6-A67A-7D72D0F3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62368">
      <w:bodyDiv w:val="1"/>
      <w:marLeft w:val="0"/>
      <w:marRight w:val="0"/>
      <w:marTop w:val="0"/>
      <w:marBottom w:val="0"/>
      <w:divBdr>
        <w:top w:val="none" w:sz="0" w:space="0" w:color="auto"/>
        <w:left w:val="none" w:sz="0" w:space="0" w:color="auto"/>
        <w:bottom w:val="none" w:sz="0" w:space="0" w:color="auto"/>
        <w:right w:val="none" w:sz="0" w:space="0" w:color="auto"/>
      </w:divBdr>
      <w:divsChild>
        <w:div w:id="250506139">
          <w:marLeft w:val="0"/>
          <w:marRight w:val="0"/>
          <w:marTop w:val="0"/>
          <w:marBottom w:val="0"/>
          <w:divBdr>
            <w:top w:val="none" w:sz="0" w:space="0" w:color="auto"/>
            <w:left w:val="none" w:sz="0" w:space="0" w:color="auto"/>
            <w:bottom w:val="none" w:sz="0" w:space="0" w:color="auto"/>
            <w:right w:val="none" w:sz="0" w:space="0" w:color="auto"/>
          </w:divBdr>
          <w:divsChild>
            <w:div w:id="1791780208">
              <w:marLeft w:val="0"/>
              <w:marRight w:val="0"/>
              <w:marTop w:val="0"/>
              <w:marBottom w:val="0"/>
              <w:divBdr>
                <w:top w:val="none" w:sz="0" w:space="0" w:color="auto"/>
                <w:left w:val="none" w:sz="0" w:space="0" w:color="auto"/>
                <w:bottom w:val="none" w:sz="0" w:space="0" w:color="auto"/>
                <w:right w:val="none" w:sz="0" w:space="0" w:color="auto"/>
              </w:divBdr>
              <w:divsChild>
                <w:div w:id="1583221276">
                  <w:marLeft w:val="0"/>
                  <w:marRight w:val="0"/>
                  <w:marTop w:val="0"/>
                  <w:marBottom w:val="0"/>
                  <w:divBdr>
                    <w:top w:val="none" w:sz="0" w:space="0" w:color="auto"/>
                    <w:left w:val="none" w:sz="0" w:space="0" w:color="auto"/>
                    <w:bottom w:val="none" w:sz="0" w:space="0" w:color="auto"/>
                    <w:right w:val="none" w:sz="0" w:space="0" w:color="auto"/>
                  </w:divBdr>
                  <w:divsChild>
                    <w:div w:id="271985693">
                      <w:marLeft w:val="0"/>
                      <w:marRight w:val="0"/>
                      <w:marTop w:val="0"/>
                      <w:marBottom w:val="0"/>
                      <w:divBdr>
                        <w:top w:val="none" w:sz="0" w:space="0" w:color="auto"/>
                        <w:left w:val="none" w:sz="0" w:space="0" w:color="auto"/>
                        <w:bottom w:val="none" w:sz="0" w:space="0" w:color="auto"/>
                        <w:right w:val="none" w:sz="0" w:space="0" w:color="auto"/>
                      </w:divBdr>
                      <w:divsChild>
                        <w:div w:id="968051617">
                          <w:marLeft w:val="0"/>
                          <w:marRight w:val="0"/>
                          <w:marTop w:val="0"/>
                          <w:marBottom w:val="0"/>
                          <w:divBdr>
                            <w:top w:val="none" w:sz="0" w:space="0" w:color="auto"/>
                            <w:left w:val="none" w:sz="0" w:space="0" w:color="auto"/>
                            <w:bottom w:val="none" w:sz="0" w:space="0" w:color="auto"/>
                            <w:right w:val="none" w:sz="0" w:space="0" w:color="auto"/>
                          </w:divBdr>
                          <w:divsChild>
                            <w:div w:id="1652325329">
                              <w:marLeft w:val="0"/>
                              <w:marRight w:val="0"/>
                              <w:marTop w:val="0"/>
                              <w:marBottom w:val="0"/>
                              <w:divBdr>
                                <w:top w:val="none" w:sz="0" w:space="0" w:color="auto"/>
                                <w:left w:val="none" w:sz="0" w:space="0" w:color="auto"/>
                                <w:bottom w:val="none" w:sz="0" w:space="0" w:color="auto"/>
                                <w:right w:val="none" w:sz="0" w:space="0" w:color="auto"/>
                              </w:divBdr>
                              <w:divsChild>
                                <w:div w:id="15274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2</cp:revision>
  <dcterms:created xsi:type="dcterms:W3CDTF">2022-06-15T11:50:00Z</dcterms:created>
  <dcterms:modified xsi:type="dcterms:W3CDTF">2022-06-15T11:52:00Z</dcterms:modified>
</cp:coreProperties>
</file>